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80" w:line="276" w:lineRule="auto"/>
        <w:jc w:val="center"/>
        <w:rPr>
          <w:rFonts w:ascii="Georgia" w:cs="Georgia" w:eastAsia="Georgia" w:hAnsi="Georgia"/>
          <w:b/>
          <w:bCs/>
          <w:sz w:val="26"/>
          <w:szCs w:val="26"/>
        </w:rPr>
      </w:pPr>
      <w:r>
        <w:rPr>
          <w:rFonts w:ascii="Georgia" w:cs="Georgia" w:eastAsia="Georgia" w:hAnsi="Georgia"/>
          <w:b/>
          <w:bCs/>
          <w:sz w:val="26"/>
          <w:szCs w:val="26"/>
        </w:rPr>
        <w:t xml:space="preserve">Financial Education, Financial Knowledge, and Financial Behavior Among U.S. Adults Aged 18 to 24 Years</w:t>
      </w:r>
    </w:p>
    <w:p>
      <w:pPr>
        <w:spacing w:after="320" w:line="276" w:lineRule="auto"/>
        <w:jc w:val="center"/>
        <w:rPr>
          <w:rFonts w:ascii="Georgia" w:cs="Georgia" w:eastAsia="Georgia" w:hAnsi="Georgia"/>
          <w:sz w:val="20"/>
          <w:szCs w:val="20"/>
        </w:rPr>
      </w:pPr>
      <w:r>
        <w:rPr>
          <w:rFonts w:ascii="Georgia" w:cs="Georgia" w:eastAsia="Georgia" w:hAnsi="Georgia"/>
          <w:sz w:val="20"/>
          <w:szCs w:val="20"/>
        </w:rPr>
        <w:t xml:space="preserve">Aaron Kim · Research Abstract</w:t>
      </w:r>
    </w:p>
    <w:p>
      <w:pPr>
        <w:keepNext/>
        <w:spacing w:after="60" w:line="276" w:lineRule="auto"/>
        <w:jc w:val="left"/>
        <w:rPr>
          <w:rFonts w:ascii="Georgia" w:cs="Georgia" w:eastAsia="Georgia" w:hAnsi="Georgia"/>
          <w:b/>
          <w:bCs/>
        </w:rPr>
      </w:pPr>
      <w:r>
        <w:rPr>
          <w:rFonts w:ascii="Georgia" w:cs="Georgia" w:eastAsia="Georgia" w:hAnsi="Georgia"/>
          <w:b/>
          <w:bCs/>
        </w:rPr>
        <w:t xml:space="preserve">Background</w:t>
      </w:r>
    </w:p>
    <w:p>
      <w:pPr>
        <w:spacing w:after="220" w:line="276" w:lineRule="auto"/>
        <w:jc w:val="left"/>
        <w:rPr>
          <w:rFonts w:ascii="Georgia" w:cs="Georgia" w:eastAsia="Georgia" w:hAnsi="Georgia"/>
        </w:rPr>
      </w:pPr>
      <w:r>
        <w:rPr>
          <w:rFonts w:ascii="Georgia" w:cs="Georgia" w:eastAsia="Georgia" w:hAnsi="Georgia"/>
        </w:rPr>
        <w:t xml:space="preserve">Financial education is widely offered in U.S. schools and workplaces. Earlier studies have linked it to higher financial literacy, but findings on financial behavior have been mixed. This project began with designing an original survey on high school students’ financial literacy and their use of financial content on TikTok (ie, “FinTok”), adapted from 6 validated scales, and reviewing existing research in the field. Because many high school students have limited experience with independent financial decisions, the original survey could not fully capture the behaviors this project sought to examine. The project then moved to the 2024 National Financial Capability Study (NFCS), a FINRA Foundation survey of U.S. adults (N=25,539) that measures both financial knowledge and financial behavior.</w:t>
      </w:r>
    </w:p>
    <w:p>
      <w:pPr>
        <w:keepNext/>
        <w:spacing w:after="60" w:line="276" w:lineRule="auto"/>
        <w:jc w:val="left"/>
        <w:rPr>
          <w:rFonts w:ascii="Georgia" w:cs="Georgia" w:eastAsia="Georgia" w:hAnsi="Georgia"/>
          <w:b/>
          <w:bCs/>
        </w:rPr>
      </w:pPr>
      <w:r>
        <w:rPr>
          <w:rFonts w:ascii="Georgia" w:cs="Georgia" w:eastAsia="Georgia" w:hAnsi="Georgia"/>
          <w:b/>
          <w:bCs/>
        </w:rPr>
        <w:t xml:space="preserve">Methods</w:t>
      </w:r>
    </w:p>
    <w:p>
      <w:pPr>
        <w:spacing w:after="220" w:line="276" w:lineRule="auto"/>
        <w:jc w:val="left"/>
        <w:rPr>
          <w:rFonts w:ascii="Georgia" w:cs="Georgia" w:eastAsia="Georgia" w:hAnsi="Georgia"/>
        </w:rPr>
      </w:pPr>
      <w:r>
        <w:rPr>
          <w:rFonts w:ascii="Georgia" w:cs="Georgia" w:eastAsia="Georgia" w:hAnsi="Georgia"/>
        </w:rPr>
        <w:t xml:space="preserve">This study focuses on respondents aged 18 to 24 years, the youngest respondents in the NFCS. Respondents who participated in financial education were compared with respondents who were offered financial education but did not participate. Financial knowledge was measured using the NFCS 7-question financial literacy index (range 0-7). Financial behaviors included having emergency savings to cover 3 months of expenses, overdrawing a checking account, and spending more than income. Participation in financial education was not randomly assigned, so this study examines associations and not causal effects.</w:t>
      </w:r>
    </w:p>
    <w:p>
      <w:pPr>
        <w:keepNext/>
        <w:spacing w:after="60" w:line="276" w:lineRule="auto"/>
        <w:jc w:val="left"/>
        <w:rPr>
          <w:rFonts w:ascii="Georgia" w:cs="Georgia" w:eastAsia="Georgia" w:hAnsi="Georgia"/>
          <w:b/>
          <w:bCs/>
        </w:rPr>
      </w:pPr>
      <w:r>
        <w:rPr>
          <w:rFonts w:ascii="Georgia" w:cs="Georgia" w:eastAsia="Georgia" w:hAnsi="Georgia"/>
          <w:b/>
          <w:bCs/>
        </w:rPr>
        <w:t xml:space="preserve">Progress to Date</w:t>
      </w:r>
    </w:p>
    <w:p>
      <w:pPr>
        <w:spacing w:after="220" w:line="276" w:lineRule="auto"/>
        <w:jc w:val="left"/>
        <w:rPr>
          <w:rFonts w:ascii="Georgia" w:cs="Georgia" w:eastAsia="Georgia" w:hAnsi="Georgia"/>
        </w:rPr>
      </w:pPr>
      <w:r>
        <w:rPr>
          <w:rFonts w:ascii="Georgia" w:cs="Georgia" w:eastAsia="Georgia" w:hAnsi="Georgia"/>
        </w:rPr>
        <w:t xml:space="preserve">To date, the data set has been cleaned, and the relevant survey variables have been identified and coded for analysis. Two coding problems that could have distorted the results were found. Participation in financial education is coded as 2 rather than 1, and reversing these codes would switch the 2 comparison groups. The overdraft question was only asked of respondents with a checking account, so skipped responses cannot be treated as “no.” Linear regression and multiple regression (covariate) analyses are currently in progress. This research aims to clarify whether financial education translates into improved financial literacy and behavior for young adults entering the economy and the workforce.</w:t>
      </w:r>
    </w:p>
    <w:p>
      <w:pPr>
        <w:spacing w:after="0" w:line="276" w:lineRule="auto"/>
        <w:jc w:val="left"/>
        <w:rPr>
          <w:rFonts w:ascii="Georgia" w:cs="Georgia" w:eastAsia="Georgia" w:hAnsi="Georgia"/>
          <w:sz w:val="20"/>
          <w:szCs w:val="20"/>
        </w:rPr>
      </w:pPr>
      <w:r>
        <w:rPr>
          <w:rFonts w:ascii="Georgia" w:cs="Georgia" w:eastAsia="Georgia" w:hAnsi="Georgia"/>
          <w:sz w:val="20"/>
          <w:szCs w:val="20"/>
        </w:rPr>
        <w:t xml:space="preserve">Keywords: financial education, financial literacy, financial behavior, young adults, National Financial Capability Study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